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33" w:rsidRPr="003024BE" w:rsidRDefault="0024322A" w:rsidP="003024BE">
      <w:pPr>
        <w:pStyle w:val="Heading1"/>
        <w:spacing w:before="0"/>
        <w:jc w:val="center"/>
        <w:rPr>
          <w:rFonts w:eastAsiaTheme="majorEastAsia"/>
          <w:b w:val="0"/>
          <w:caps w:val="0"/>
          <w:kern w:val="28"/>
        </w:rPr>
      </w:pPr>
      <w:r>
        <w:rPr>
          <w:b w:val="0"/>
          <w:caps w:val="0"/>
        </w:rPr>
        <w:t xml:space="preserve">Promotor(a) or </w:t>
      </w:r>
      <w:r w:rsidR="00735F33" w:rsidRPr="003024BE">
        <w:rPr>
          <w:b w:val="0"/>
          <w:caps w:val="0"/>
        </w:rPr>
        <w:t>Community Health Worker Administrative Rules</w:t>
      </w:r>
      <w:r w:rsidR="003024BE" w:rsidRPr="003024BE">
        <w:rPr>
          <w:b w:val="0"/>
          <w:caps w:val="0"/>
        </w:rPr>
        <w:br/>
      </w:r>
      <w:r w:rsidR="00735F33" w:rsidRPr="003024BE">
        <w:rPr>
          <w:rFonts w:eastAsiaTheme="majorEastAsia"/>
          <w:b w:val="0"/>
          <w:caps w:val="0"/>
          <w:kern w:val="28"/>
        </w:rPr>
        <w:t>25 Texas Administrative Code §146.1- §146.8</w:t>
      </w:r>
    </w:p>
    <w:p w:rsidR="00826446" w:rsidRDefault="00735F33" w:rsidP="003024BE">
      <w:pPr>
        <w:pStyle w:val="Heading1"/>
        <w:spacing w:before="0"/>
        <w:jc w:val="center"/>
        <w:rPr>
          <w:b w:val="0"/>
          <w:caps w:val="0"/>
          <w:sz w:val="22"/>
          <w:szCs w:val="22"/>
        </w:rPr>
      </w:pPr>
      <w:r w:rsidRPr="003024BE">
        <w:rPr>
          <w:b w:val="0"/>
          <w:caps w:val="0"/>
          <w:sz w:val="22"/>
          <w:szCs w:val="22"/>
        </w:rPr>
        <w:t>Su</w:t>
      </w:r>
      <w:bookmarkStart w:id="0" w:name="_GoBack"/>
      <w:bookmarkEnd w:id="0"/>
      <w:r w:rsidRPr="003024BE">
        <w:rPr>
          <w:b w:val="0"/>
          <w:caps w:val="0"/>
          <w:sz w:val="22"/>
          <w:szCs w:val="22"/>
        </w:rPr>
        <w:t>mmary of Changes Implemented June 24, 2015</w:t>
      </w:r>
    </w:p>
    <w:p w:rsidR="003024BE" w:rsidRPr="003024BE" w:rsidRDefault="003024BE" w:rsidP="003024B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20955</wp:posOffset>
                </wp:positionV>
                <wp:extent cx="6400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89D57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.75pt,1.65pt" to="50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826446" w:rsidRPr="003024BE" w:rsidRDefault="00735F33" w:rsidP="00D20ED2">
      <w:pPr>
        <w:pStyle w:val="Heading1"/>
        <w:spacing w:before="0"/>
        <w:jc w:val="center"/>
        <w:rPr>
          <w:b w:val="0"/>
        </w:rPr>
      </w:pPr>
      <w:r w:rsidRPr="003024BE">
        <w:rPr>
          <w:b w:val="0"/>
        </w:rPr>
        <w:t>timeline</w:t>
      </w:r>
    </w:p>
    <w:p w:rsidR="00826446" w:rsidRPr="00D20ED2" w:rsidRDefault="00735F33" w:rsidP="00A376D5">
      <w:pPr>
        <w:pStyle w:val="Heading2"/>
        <w:numPr>
          <w:ilvl w:val="0"/>
          <w:numId w:val="0"/>
        </w:numPr>
        <w:tabs>
          <w:tab w:val="left" w:pos="1650"/>
        </w:tabs>
        <w:spacing w:before="0"/>
        <w:rPr>
          <w:b w:val="0"/>
          <w:color w:val="auto"/>
          <w:sz w:val="22"/>
          <w:szCs w:val="22"/>
        </w:rPr>
      </w:pPr>
      <w:r w:rsidRPr="00D20ED2">
        <w:rPr>
          <w:b w:val="0"/>
          <w:color w:val="auto"/>
          <w:sz w:val="22"/>
          <w:szCs w:val="22"/>
        </w:rPr>
        <w:t>2013-2014</w:t>
      </w:r>
      <w:r w:rsidR="00033C94" w:rsidRPr="00D20ED2">
        <w:rPr>
          <w:b w:val="0"/>
          <w:color w:val="auto"/>
          <w:sz w:val="22"/>
          <w:szCs w:val="22"/>
        </w:rPr>
        <w:tab/>
      </w:r>
    </w:p>
    <w:sdt>
      <w:sdtPr>
        <w:rPr>
          <w:color w:val="auto"/>
        </w:rPr>
        <w:id w:val="-2113425653"/>
        <w:placeholder>
          <w:docPart w:val="62DC4EBA56584BEFA0B9BA2DA0EA32D1"/>
        </w:placeholder>
      </w:sdtPr>
      <w:sdtEndPr/>
      <w:sdtContent>
        <w:p w:rsidR="006353B7" w:rsidRPr="006353B7" w:rsidRDefault="00735F33" w:rsidP="006353B7">
          <w:pPr>
            <w:numPr>
              <w:ilvl w:val="1"/>
              <w:numId w:val="6"/>
            </w:numPr>
            <w:spacing w:after="120" w:line="240" w:lineRule="auto"/>
            <w:rPr>
              <w:color w:val="auto"/>
              <w:lang w:val="en"/>
            </w:rPr>
          </w:pPr>
          <w:r w:rsidRPr="006353B7">
            <w:rPr>
              <w:b/>
              <w:color w:val="auto"/>
            </w:rPr>
            <w:t>Review of the administrative rules</w:t>
          </w:r>
          <w:r w:rsidRPr="006353B7">
            <w:rPr>
              <w:color w:val="auto"/>
            </w:rPr>
            <w:t xml:space="preserve"> regarding the training and certification of promotores(as) or community health workers (CHWs) </w:t>
          </w:r>
        </w:p>
        <w:p w:rsidR="00735F33" w:rsidRPr="006353B7" w:rsidRDefault="006353B7" w:rsidP="006353B7">
          <w:pPr>
            <w:numPr>
              <w:ilvl w:val="1"/>
              <w:numId w:val="6"/>
            </w:numPr>
            <w:spacing w:after="120" w:line="240" w:lineRule="auto"/>
            <w:rPr>
              <w:color w:val="auto"/>
              <w:lang w:val="en"/>
            </w:rPr>
          </w:pPr>
          <w:r w:rsidRPr="006353B7">
            <w:rPr>
              <w:b/>
              <w:color w:val="auto"/>
              <w:lang w:val="en"/>
            </w:rPr>
            <w:t>S</w:t>
          </w:r>
          <w:r w:rsidR="00735F33" w:rsidRPr="006353B7">
            <w:rPr>
              <w:b/>
              <w:color w:val="auto"/>
              <w:lang w:val="en"/>
            </w:rPr>
            <w:t>takeholder input</w:t>
          </w:r>
          <w:r w:rsidR="00735F33" w:rsidRPr="006353B7">
            <w:rPr>
              <w:color w:val="auto"/>
              <w:lang w:val="en"/>
            </w:rPr>
            <w:t xml:space="preserve"> </w:t>
          </w:r>
          <w:r w:rsidRPr="006353B7">
            <w:rPr>
              <w:color w:val="auto"/>
              <w:lang w:val="en"/>
            </w:rPr>
            <w:t>(Co</w:t>
          </w:r>
          <w:r w:rsidR="00735F33" w:rsidRPr="006353B7">
            <w:rPr>
              <w:color w:val="auto"/>
              <w:lang w:val="en"/>
            </w:rPr>
            <w:t>mmunity health workers (CHWs) and CHW networks/associations, members of the Promotor(a)/CHW Training and Certification Program Advisory Committee, instructors and training programs, employers, and other</w:t>
          </w:r>
          <w:r w:rsidRPr="006353B7">
            <w:rPr>
              <w:color w:val="auto"/>
              <w:lang w:val="en"/>
            </w:rPr>
            <w:t>s)</w:t>
          </w:r>
          <w:r w:rsidR="00735F33" w:rsidRPr="006353B7">
            <w:rPr>
              <w:color w:val="auto"/>
              <w:lang w:val="en"/>
            </w:rPr>
            <w:t xml:space="preserve"> </w:t>
          </w:r>
        </w:p>
        <w:p w:rsidR="00735F33" w:rsidRPr="006353B7" w:rsidRDefault="00735F33" w:rsidP="006353B7">
          <w:pPr>
            <w:numPr>
              <w:ilvl w:val="2"/>
              <w:numId w:val="5"/>
            </w:numPr>
            <w:spacing w:after="120" w:line="240" w:lineRule="auto"/>
            <w:rPr>
              <w:color w:val="auto"/>
              <w:lang w:val="en"/>
            </w:rPr>
          </w:pPr>
          <w:r w:rsidRPr="006353B7">
            <w:rPr>
              <w:b/>
              <w:color w:val="auto"/>
              <w:lang w:val="en"/>
            </w:rPr>
            <w:t>Meetings</w:t>
          </w:r>
          <w:r w:rsidRPr="006353B7">
            <w:rPr>
              <w:color w:val="auto"/>
              <w:lang w:val="en"/>
            </w:rPr>
            <w:t xml:space="preserve"> with stakeholders </w:t>
          </w:r>
        </w:p>
        <w:p w:rsidR="00826446" w:rsidRPr="006353B7" w:rsidRDefault="00735F33" w:rsidP="006353B7">
          <w:pPr>
            <w:numPr>
              <w:ilvl w:val="2"/>
              <w:numId w:val="5"/>
            </w:numPr>
            <w:spacing w:after="120" w:line="240" w:lineRule="auto"/>
            <w:rPr>
              <w:color w:val="auto"/>
              <w:lang w:val="en"/>
            </w:rPr>
          </w:pPr>
          <w:r w:rsidRPr="006353B7">
            <w:rPr>
              <w:b/>
              <w:color w:val="auto"/>
              <w:lang w:val="en"/>
            </w:rPr>
            <w:t>Online survey</w:t>
          </w:r>
          <w:r w:rsidRPr="006353B7">
            <w:rPr>
              <w:color w:val="auto"/>
              <w:lang w:val="en"/>
            </w:rPr>
            <w:t xml:space="preserve"> with more than 700 responses</w:t>
          </w:r>
        </w:p>
      </w:sdtContent>
    </w:sdt>
    <w:p w:rsidR="00826446" w:rsidRPr="006353B7" w:rsidRDefault="00735F33" w:rsidP="006353B7">
      <w:pPr>
        <w:pStyle w:val="Heading2"/>
        <w:numPr>
          <w:ilvl w:val="0"/>
          <w:numId w:val="0"/>
        </w:numPr>
        <w:spacing w:before="0"/>
        <w:rPr>
          <w:b w:val="0"/>
          <w:color w:val="auto"/>
          <w:sz w:val="22"/>
          <w:szCs w:val="22"/>
        </w:rPr>
      </w:pPr>
      <w:r w:rsidRPr="006353B7">
        <w:rPr>
          <w:b w:val="0"/>
          <w:color w:val="auto"/>
          <w:sz w:val="22"/>
          <w:szCs w:val="22"/>
        </w:rPr>
        <w:t>February 27, 2015</w:t>
      </w:r>
    </w:p>
    <w:p w:rsidR="00826446" w:rsidRPr="006353B7" w:rsidRDefault="00061601" w:rsidP="006353B7">
      <w:pPr>
        <w:pStyle w:val="ListParagraph"/>
        <w:numPr>
          <w:ilvl w:val="0"/>
          <w:numId w:val="7"/>
        </w:numPr>
        <w:spacing w:line="240" w:lineRule="auto"/>
        <w:rPr>
          <w:sz w:val="18"/>
          <w:szCs w:val="20"/>
          <w:lang w:val="en" w:eastAsia="ja-JP"/>
        </w:rPr>
      </w:pPr>
      <w:r w:rsidRPr="006353B7">
        <w:rPr>
          <w:b/>
          <w:sz w:val="18"/>
          <w:szCs w:val="20"/>
          <w:lang w:val="en" w:eastAsia="ja-JP"/>
        </w:rPr>
        <w:t>Proposed</w:t>
      </w:r>
      <w:r w:rsidRPr="006353B7">
        <w:rPr>
          <w:sz w:val="18"/>
          <w:szCs w:val="20"/>
          <w:lang w:val="en" w:eastAsia="ja-JP"/>
        </w:rPr>
        <w:t xml:space="preserve"> rules published in the Texas Register</w:t>
      </w:r>
    </w:p>
    <w:p w:rsidR="00826446" w:rsidRPr="006353B7" w:rsidRDefault="00061601" w:rsidP="006353B7">
      <w:pPr>
        <w:pStyle w:val="Heading2"/>
        <w:numPr>
          <w:ilvl w:val="0"/>
          <w:numId w:val="0"/>
        </w:numPr>
        <w:tabs>
          <w:tab w:val="left" w:pos="1815"/>
        </w:tabs>
        <w:spacing w:before="0"/>
        <w:rPr>
          <w:b w:val="0"/>
          <w:color w:val="auto"/>
          <w:sz w:val="22"/>
        </w:rPr>
      </w:pPr>
      <w:r w:rsidRPr="006353B7">
        <w:rPr>
          <w:b w:val="0"/>
          <w:color w:val="auto"/>
          <w:sz w:val="22"/>
        </w:rPr>
        <w:t>March 2015</w:t>
      </w:r>
      <w:r w:rsidR="00033C94" w:rsidRPr="006353B7">
        <w:rPr>
          <w:b w:val="0"/>
          <w:color w:val="auto"/>
          <w:sz w:val="22"/>
        </w:rPr>
        <w:tab/>
      </w:r>
    </w:p>
    <w:p w:rsidR="00061601" w:rsidRPr="006353B7" w:rsidRDefault="00061601" w:rsidP="006353B7">
      <w:pPr>
        <w:pStyle w:val="Heading2"/>
        <w:numPr>
          <w:ilvl w:val="0"/>
          <w:numId w:val="8"/>
        </w:numPr>
        <w:spacing w:before="0"/>
        <w:rPr>
          <w:b w:val="0"/>
          <w:bCs w:val="0"/>
          <w:color w:val="auto"/>
          <w:sz w:val="18"/>
        </w:rPr>
      </w:pPr>
      <w:r w:rsidRPr="006353B7">
        <w:rPr>
          <w:bCs w:val="0"/>
          <w:color w:val="auto"/>
          <w:sz w:val="18"/>
        </w:rPr>
        <w:t>Public comments</w:t>
      </w:r>
      <w:r w:rsidRPr="006353B7">
        <w:rPr>
          <w:b w:val="0"/>
          <w:bCs w:val="0"/>
          <w:color w:val="auto"/>
          <w:sz w:val="18"/>
        </w:rPr>
        <w:t xml:space="preserve"> accepted through March 30, 2015</w:t>
      </w:r>
    </w:p>
    <w:p w:rsidR="00826446" w:rsidRPr="006353B7" w:rsidRDefault="00061601" w:rsidP="006353B7">
      <w:pPr>
        <w:pStyle w:val="Heading2"/>
        <w:numPr>
          <w:ilvl w:val="0"/>
          <w:numId w:val="0"/>
        </w:numPr>
        <w:spacing w:before="0"/>
        <w:rPr>
          <w:b w:val="0"/>
          <w:color w:val="auto"/>
          <w:sz w:val="22"/>
        </w:rPr>
      </w:pPr>
      <w:r w:rsidRPr="006353B7">
        <w:rPr>
          <w:b w:val="0"/>
          <w:color w:val="auto"/>
          <w:sz w:val="22"/>
        </w:rPr>
        <w:t>June 19, 2015</w:t>
      </w:r>
    </w:p>
    <w:p w:rsidR="00061601" w:rsidRPr="006353B7" w:rsidRDefault="00061601" w:rsidP="006353B7">
      <w:pPr>
        <w:pStyle w:val="ListParagraph"/>
        <w:numPr>
          <w:ilvl w:val="0"/>
          <w:numId w:val="7"/>
        </w:numPr>
        <w:spacing w:line="240" w:lineRule="auto"/>
        <w:rPr>
          <w:sz w:val="18"/>
          <w:szCs w:val="20"/>
          <w:lang w:val="en" w:eastAsia="ja-JP"/>
        </w:rPr>
      </w:pPr>
      <w:r w:rsidRPr="006353B7">
        <w:rPr>
          <w:b/>
          <w:sz w:val="18"/>
          <w:szCs w:val="20"/>
          <w:lang w:val="en" w:eastAsia="ja-JP"/>
        </w:rPr>
        <w:t>Adopted</w:t>
      </w:r>
      <w:r w:rsidRPr="006353B7">
        <w:rPr>
          <w:sz w:val="18"/>
          <w:szCs w:val="20"/>
          <w:lang w:val="en" w:eastAsia="ja-JP"/>
        </w:rPr>
        <w:t xml:space="preserve"> rules published in the Texas Register</w:t>
      </w:r>
    </w:p>
    <w:p w:rsidR="00061601" w:rsidRPr="006353B7" w:rsidRDefault="00061601" w:rsidP="006353B7">
      <w:pPr>
        <w:pStyle w:val="Heading2"/>
        <w:numPr>
          <w:ilvl w:val="0"/>
          <w:numId w:val="0"/>
        </w:numPr>
        <w:spacing w:before="0"/>
        <w:rPr>
          <w:b w:val="0"/>
          <w:color w:val="auto"/>
          <w:sz w:val="22"/>
        </w:rPr>
      </w:pPr>
      <w:r w:rsidRPr="006353B7">
        <w:rPr>
          <w:b w:val="0"/>
          <w:color w:val="auto"/>
          <w:sz w:val="22"/>
        </w:rPr>
        <w:t>June 24, 2015</w:t>
      </w:r>
    </w:p>
    <w:p w:rsidR="00061601" w:rsidRPr="006353B7" w:rsidRDefault="00061601" w:rsidP="006353B7">
      <w:pPr>
        <w:pStyle w:val="ListParagraph"/>
        <w:numPr>
          <w:ilvl w:val="0"/>
          <w:numId w:val="7"/>
        </w:numPr>
        <w:spacing w:line="240" w:lineRule="auto"/>
        <w:rPr>
          <w:sz w:val="18"/>
          <w:szCs w:val="20"/>
          <w:lang w:val="en" w:eastAsia="ja-JP"/>
        </w:rPr>
      </w:pPr>
      <w:r w:rsidRPr="006353B7">
        <w:rPr>
          <w:b/>
          <w:sz w:val="18"/>
          <w:szCs w:val="20"/>
          <w:lang w:val="en" w:eastAsia="ja-JP"/>
        </w:rPr>
        <w:t>Final</w:t>
      </w:r>
      <w:r w:rsidRPr="006353B7">
        <w:rPr>
          <w:sz w:val="18"/>
          <w:szCs w:val="20"/>
          <w:lang w:val="en" w:eastAsia="ja-JP"/>
        </w:rPr>
        <w:t xml:space="preserve"> rules implemented</w:t>
      </w:r>
    </w:p>
    <w:p w:rsidR="00061601" w:rsidRPr="003024BE" w:rsidRDefault="00061601" w:rsidP="00D20ED2">
      <w:pPr>
        <w:pStyle w:val="Heading1"/>
        <w:jc w:val="center"/>
        <w:rPr>
          <w:b w:val="0"/>
        </w:rPr>
      </w:pPr>
      <w:r w:rsidRPr="003024BE">
        <w:rPr>
          <w:b w:val="0"/>
        </w:rPr>
        <w:t>Summary of changes</w:t>
      </w:r>
    </w:p>
    <w:p w:rsidR="00061601" w:rsidRPr="006353B7" w:rsidRDefault="00061601" w:rsidP="00061601">
      <w:pPr>
        <w:pStyle w:val="Heading2"/>
        <w:numPr>
          <w:ilvl w:val="0"/>
          <w:numId w:val="0"/>
        </w:numPr>
        <w:rPr>
          <w:b w:val="0"/>
          <w:color w:val="auto"/>
          <w:sz w:val="22"/>
        </w:rPr>
      </w:pPr>
      <w:r w:rsidRPr="006353B7">
        <w:rPr>
          <w:b w:val="0"/>
          <w:color w:val="auto"/>
          <w:sz w:val="22"/>
        </w:rPr>
        <w:t>General Structure</w:t>
      </w:r>
    </w:p>
    <w:sdt>
      <w:sdtPr>
        <w:rPr>
          <w:b/>
          <w:color w:val="auto"/>
        </w:rPr>
        <w:id w:val="-2044743607"/>
        <w:placeholder>
          <w:docPart w:val="EF82CBCD3F8A45A1A1F44B10A30F6F4A"/>
        </w:placeholder>
      </w:sdtPr>
      <w:sdtEndPr>
        <w:rPr>
          <w:b w:val="0"/>
        </w:rPr>
      </w:sdtEndPr>
      <w:sdtContent>
        <w:p w:rsidR="00061601" w:rsidRPr="006353B7" w:rsidRDefault="00061601" w:rsidP="00061601">
          <w:pPr>
            <w:numPr>
              <w:ilvl w:val="1"/>
              <w:numId w:val="6"/>
            </w:numPr>
            <w:spacing w:after="0" w:line="360" w:lineRule="auto"/>
            <w:rPr>
              <w:b/>
              <w:color w:val="auto"/>
              <w:sz w:val="20"/>
            </w:rPr>
          </w:pPr>
          <w:r w:rsidRPr="006353B7">
            <w:rPr>
              <w:b/>
              <w:color w:val="auto"/>
              <w:sz w:val="20"/>
            </w:rPr>
            <w:t xml:space="preserve">Streamlined/simplified rule structure </w:t>
          </w:r>
        </w:p>
        <w:p w:rsidR="00061601" w:rsidRPr="006353B7" w:rsidRDefault="00061601" w:rsidP="006353B7">
          <w:pPr>
            <w:numPr>
              <w:ilvl w:val="2"/>
              <w:numId w:val="6"/>
            </w:numPr>
            <w:spacing w:before="120" w:after="0" w:line="240" w:lineRule="auto"/>
            <w:rPr>
              <w:i/>
              <w:color w:val="auto"/>
              <w:sz w:val="20"/>
            </w:rPr>
          </w:pPr>
          <w:r w:rsidRPr="006353B7">
            <w:rPr>
              <w:color w:val="auto"/>
              <w:sz w:val="20"/>
            </w:rPr>
            <w:t xml:space="preserve">146.1 Definitions </w:t>
          </w:r>
          <w:r w:rsidRPr="006353B7">
            <w:rPr>
              <w:i/>
              <w:color w:val="auto"/>
              <w:sz w:val="20"/>
            </w:rPr>
            <w:t>– no major changes</w:t>
          </w:r>
        </w:p>
        <w:p w:rsidR="00061601" w:rsidRPr="006353B7" w:rsidRDefault="00061601" w:rsidP="006353B7">
          <w:pPr>
            <w:numPr>
              <w:ilvl w:val="2"/>
              <w:numId w:val="6"/>
            </w:numPr>
            <w:spacing w:before="120" w:after="0" w:line="240" w:lineRule="auto"/>
            <w:rPr>
              <w:color w:val="auto"/>
              <w:sz w:val="20"/>
            </w:rPr>
          </w:pPr>
          <w:r w:rsidRPr="006353B7">
            <w:rPr>
              <w:color w:val="auto"/>
              <w:sz w:val="20"/>
            </w:rPr>
            <w:t xml:space="preserve">146.2 Applicability </w:t>
          </w:r>
          <w:r w:rsidRPr="006353B7">
            <w:rPr>
              <w:i/>
              <w:color w:val="auto"/>
              <w:sz w:val="20"/>
            </w:rPr>
            <w:t>– no major changes</w:t>
          </w:r>
        </w:p>
        <w:p w:rsidR="00061601" w:rsidRPr="006353B7" w:rsidRDefault="00061601" w:rsidP="006353B7">
          <w:pPr>
            <w:numPr>
              <w:ilvl w:val="2"/>
              <w:numId w:val="6"/>
            </w:numPr>
            <w:spacing w:before="120" w:after="0" w:line="240" w:lineRule="auto"/>
            <w:rPr>
              <w:color w:val="auto"/>
              <w:sz w:val="20"/>
            </w:rPr>
          </w:pPr>
          <w:r w:rsidRPr="006353B7">
            <w:rPr>
              <w:color w:val="auto"/>
              <w:sz w:val="20"/>
            </w:rPr>
            <w:t>146.3 Promotor(a) or Community Health Worker Training and Certification Advisory Committee</w:t>
          </w:r>
        </w:p>
        <w:p w:rsidR="00061601" w:rsidRPr="006353B7" w:rsidRDefault="00061601" w:rsidP="006353B7">
          <w:pPr>
            <w:numPr>
              <w:ilvl w:val="2"/>
              <w:numId w:val="6"/>
            </w:numPr>
            <w:spacing w:before="120" w:after="0" w:line="240" w:lineRule="auto"/>
            <w:rPr>
              <w:color w:val="auto"/>
              <w:sz w:val="20"/>
            </w:rPr>
          </w:pPr>
          <w:r w:rsidRPr="006353B7">
            <w:rPr>
              <w:color w:val="auto"/>
              <w:sz w:val="20"/>
            </w:rPr>
            <w:t>146.4 Application Requirements and Procedures for Sponsoring Organizations</w:t>
          </w:r>
        </w:p>
        <w:p w:rsidR="00061601" w:rsidRPr="006353B7" w:rsidRDefault="00061601" w:rsidP="006353B7">
          <w:pPr>
            <w:numPr>
              <w:ilvl w:val="2"/>
              <w:numId w:val="6"/>
            </w:numPr>
            <w:spacing w:before="120" w:after="0" w:line="240" w:lineRule="auto"/>
            <w:rPr>
              <w:color w:val="auto"/>
              <w:sz w:val="20"/>
            </w:rPr>
          </w:pPr>
          <w:r w:rsidRPr="006353B7">
            <w:rPr>
              <w:color w:val="auto"/>
              <w:sz w:val="20"/>
            </w:rPr>
            <w:t>146.5 Eligibility Requirements and Application Procedures for Community Health Worker Instructors</w:t>
          </w:r>
        </w:p>
        <w:p w:rsidR="00061601" w:rsidRPr="006353B7" w:rsidRDefault="00061601" w:rsidP="006353B7">
          <w:pPr>
            <w:numPr>
              <w:ilvl w:val="2"/>
              <w:numId w:val="6"/>
            </w:numPr>
            <w:spacing w:before="120" w:after="0" w:line="240" w:lineRule="auto"/>
            <w:rPr>
              <w:color w:val="auto"/>
              <w:sz w:val="20"/>
            </w:rPr>
          </w:pPr>
          <w:r w:rsidRPr="006353B7">
            <w:rPr>
              <w:color w:val="auto"/>
              <w:sz w:val="20"/>
            </w:rPr>
            <w:t>146.6 Eligibility Requirements and Application Procedures for Promotores or Community Health Workers</w:t>
          </w:r>
        </w:p>
        <w:p w:rsidR="00061601" w:rsidRPr="006353B7" w:rsidRDefault="00061601" w:rsidP="006353B7">
          <w:pPr>
            <w:numPr>
              <w:ilvl w:val="2"/>
              <w:numId w:val="6"/>
            </w:numPr>
            <w:spacing w:before="120" w:after="0" w:line="240" w:lineRule="auto"/>
            <w:rPr>
              <w:color w:val="auto"/>
              <w:sz w:val="20"/>
            </w:rPr>
          </w:pPr>
          <w:r w:rsidRPr="006353B7">
            <w:rPr>
              <w:color w:val="auto"/>
              <w:sz w:val="20"/>
            </w:rPr>
            <w:t xml:space="preserve">146.7 Professional and Ethical Standards </w:t>
          </w:r>
          <w:r w:rsidRPr="006353B7">
            <w:rPr>
              <w:i/>
              <w:color w:val="auto"/>
              <w:sz w:val="20"/>
            </w:rPr>
            <w:t>– no major changes</w:t>
          </w:r>
        </w:p>
        <w:p w:rsidR="00061601" w:rsidRPr="006353B7" w:rsidRDefault="00061601" w:rsidP="006353B7">
          <w:pPr>
            <w:numPr>
              <w:ilvl w:val="2"/>
              <w:numId w:val="6"/>
            </w:numPr>
            <w:spacing w:before="120" w:after="0" w:line="240" w:lineRule="auto"/>
            <w:rPr>
              <w:color w:val="auto"/>
              <w:sz w:val="20"/>
            </w:rPr>
          </w:pPr>
          <w:r w:rsidRPr="006353B7">
            <w:rPr>
              <w:color w:val="auto"/>
              <w:sz w:val="20"/>
            </w:rPr>
            <w:t xml:space="preserve">146.8 Violations, Complaints and Subsequent Actions </w:t>
          </w:r>
          <w:r w:rsidRPr="006353B7">
            <w:rPr>
              <w:i/>
              <w:color w:val="auto"/>
              <w:sz w:val="20"/>
            </w:rPr>
            <w:t>– no major changes</w:t>
          </w:r>
        </w:p>
        <w:p w:rsidR="00BB374E" w:rsidRPr="006353B7" w:rsidRDefault="00BB374E" w:rsidP="00BB374E">
          <w:pPr>
            <w:spacing w:after="0" w:line="360" w:lineRule="auto"/>
            <w:rPr>
              <w:color w:val="auto"/>
            </w:rPr>
          </w:pPr>
        </w:p>
        <w:p w:rsidR="006353B7" w:rsidRPr="006353B7" w:rsidRDefault="006353B7" w:rsidP="00BB374E">
          <w:pPr>
            <w:spacing w:after="0" w:line="360" w:lineRule="auto"/>
            <w:rPr>
              <w:bCs/>
              <w:color w:val="auto"/>
              <w:sz w:val="22"/>
            </w:rPr>
          </w:pPr>
        </w:p>
        <w:p w:rsidR="006353B7" w:rsidRPr="006353B7" w:rsidRDefault="006353B7" w:rsidP="00BB374E">
          <w:pPr>
            <w:spacing w:after="0" w:line="360" w:lineRule="auto"/>
            <w:rPr>
              <w:bCs/>
              <w:color w:val="auto"/>
              <w:sz w:val="22"/>
            </w:rPr>
          </w:pPr>
        </w:p>
        <w:p w:rsidR="00BB374E" w:rsidRPr="006353B7" w:rsidRDefault="00BB374E" w:rsidP="00BB374E">
          <w:pPr>
            <w:spacing w:after="0" w:line="360" w:lineRule="auto"/>
            <w:rPr>
              <w:b/>
              <w:bCs/>
              <w:color w:val="auto"/>
              <w:sz w:val="22"/>
            </w:rPr>
          </w:pPr>
          <w:r w:rsidRPr="006353B7">
            <w:rPr>
              <w:bCs/>
              <w:color w:val="auto"/>
              <w:sz w:val="22"/>
            </w:rPr>
            <w:lastRenderedPageBreak/>
            <w:t xml:space="preserve">§146.3 Promotor(a) or Community Health Worker Training and Certification </w:t>
          </w:r>
          <w:r w:rsidRPr="006353B7">
            <w:rPr>
              <w:b/>
              <w:bCs/>
              <w:color w:val="auto"/>
              <w:sz w:val="22"/>
            </w:rPr>
            <w:t>Advisory Committee</w:t>
          </w:r>
        </w:p>
        <w:sdt>
          <w:sdtPr>
            <w:rPr>
              <w:color w:val="auto"/>
              <w:sz w:val="20"/>
            </w:rPr>
            <w:id w:val="784233810"/>
            <w:placeholder>
              <w:docPart w:val="52E113FC6C1D4C1B9ADE0FA1BA91E979"/>
            </w:placeholder>
          </w:sdtPr>
          <w:sdtEndPr>
            <w:rPr>
              <w:sz w:val="18"/>
            </w:rPr>
          </w:sdtEndPr>
          <w:sdtContent>
            <w:p w:rsidR="00BB374E" w:rsidRPr="006353B7" w:rsidRDefault="00BB374E" w:rsidP="00BB374E">
              <w:pPr>
                <w:numPr>
                  <w:ilvl w:val="1"/>
                  <w:numId w:val="6"/>
                </w:numPr>
                <w:spacing w:after="0" w:line="360" w:lineRule="auto"/>
                <w:rPr>
                  <w:color w:val="auto"/>
                  <w:sz w:val="20"/>
                </w:rPr>
              </w:pPr>
              <w:r w:rsidRPr="006353B7">
                <w:rPr>
                  <w:color w:val="auto"/>
                  <w:sz w:val="20"/>
                </w:rPr>
                <w:t xml:space="preserve">Committee review date </w:t>
              </w:r>
              <w:r w:rsidRPr="006353B7">
                <w:rPr>
                  <w:b/>
                  <w:color w:val="auto"/>
                  <w:sz w:val="20"/>
                </w:rPr>
                <w:t>changed to May 1, 2019</w:t>
              </w:r>
            </w:p>
            <w:p w:rsidR="00BB374E" w:rsidRPr="006353B7" w:rsidRDefault="00BB374E" w:rsidP="00BB374E">
              <w:pPr>
                <w:numPr>
                  <w:ilvl w:val="1"/>
                  <w:numId w:val="6"/>
                </w:numPr>
                <w:spacing w:after="0" w:line="360" w:lineRule="auto"/>
                <w:rPr>
                  <w:color w:val="auto"/>
                  <w:sz w:val="20"/>
                </w:rPr>
              </w:pPr>
              <w:r w:rsidRPr="006353B7">
                <w:rPr>
                  <w:color w:val="auto"/>
                  <w:sz w:val="20"/>
                </w:rPr>
                <w:t>Annual Report:</w:t>
              </w:r>
            </w:p>
            <w:p w:rsidR="00BB374E" w:rsidRPr="006353B7" w:rsidRDefault="00BB374E" w:rsidP="00BB374E">
              <w:pPr>
                <w:numPr>
                  <w:ilvl w:val="2"/>
                  <w:numId w:val="6"/>
                </w:numPr>
                <w:spacing w:after="0" w:line="360" w:lineRule="auto"/>
                <w:rPr>
                  <w:color w:val="auto"/>
                  <w:sz w:val="20"/>
                </w:rPr>
              </w:pPr>
              <w:r w:rsidRPr="006353B7">
                <w:rPr>
                  <w:color w:val="auto"/>
                  <w:sz w:val="20"/>
                </w:rPr>
                <w:t xml:space="preserve">Date changed to </w:t>
              </w:r>
              <w:r w:rsidRPr="006353B7">
                <w:rPr>
                  <w:b/>
                  <w:color w:val="auto"/>
                  <w:sz w:val="20"/>
                </w:rPr>
                <w:t>April of following year</w:t>
              </w:r>
            </w:p>
            <w:p w:rsidR="00BB374E" w:rsidRPr="006353B7" w:rsidRDefault="00BB374E" w:rsidP="00BB374E">
              <w:pPr>
                <w:numPr>
                  <w:ilvl w:val="2"/>
                  <w:numId w:val="6"/>
                </w:numPr>
                <w:spacing w:after="0" w:line="360" w:lineRule="auto"/>
                <w:rPr>
                  <w:color w:val="auto"/>
                </w:rPr>
              </w:pPr>
              <w:r w:rsidRPr="006353B7">
                <w:rPr>
                  <w:color w:val="auto"/>
                  <w:sz w:val="20"/>
                </w:rPr>
                <w:t>May include data and results to track program milestones and outcomes</w:t>
              </w:r>
            </w:p>
          </w:sdtContent>
        </w:sdt>
      </w:sdtContent>
    </w:sdt>
    <w:p w:rsidR="00BB374E" w:rsidRPr="006353B7" w:rsidRDefault="00A376D5" w:rsidP="006353B7">
      <w:pPr>
        <w:spacing w:before="120" w:after="0" w:line="240" w:lineRule="auto"/>
        <w:rPr>
          <w:b/>
          <w:bCs/>
          <w:color w:val="auto"/>
          <w:sz w:val="22"/>
        </w:rPr>
      </w:pPr>
      <w:r w:rsidRPr="006353B7">
        <w:rPr>
          <w:bCs/>
          <w:color w:val="auto"/>
          <w:sz w:val="22"/>
        </w:rPr>
        <w:t xml:space="preserve">§146.4. </w:t>
      </w:r>
      <w:r w:rsidR="006353B7" w:rsidRPr="006353B7">
        <w:rPr>
          <w:bCs/>
          <w:color w:val="auto"/>
          <w:sz w:val="22"/>
        </w:rPr>
        <w:t xml:space="preserve">Application </w:t>
      </w:r>
      <w:r w:rsidR="00BB374E" w:rsidRPr="006353B7">
        <w:rPr>
          <w:bCs/>
          <w:color w:val="auto"/>
          <w:sz w:val="22"/>
        </w:rPr>
        <w:t xml:space="preserve">Requirements and Procedures for </w:t>
      </w:r>
      <w:r w:rsidR="00BB374E" w:rsidRPr="006353B7">
        <w:rPr>
          <w:b/>
          <w:bCs/>
          <w:color w:val="auto"/>
          <w:sz w:val="22"/>
        </w:rPr>
        <w:t>Sponsoring Organizations</w:t>
      </w:r>
    </w:p>
    <w:p w:rsidR="00BB374E" w:rsidRPr="006353B7" w:rsidRDefault="00BB374E" w:rsidP="006353B7">
      <w:pPr>
        <w:spacing w:before="120" w:after="0" w:line="360" w:lineRule="auto"/>
        <w:rPr>
          <w:b/>
          <w:color w:val="auto"/>
          <w:sz w:val="22"/>
          <w:szCs w:val="22"/>
        </w:rPr>
      </w:pPr>
      <w:r w:rsidRPr="006353B7">
        <w:rPr>
          <w:b/>
          <w:color w:val="auto"/>
          <w:sz w:val="22"/>
          <w:szCs w:val="22"/>
        </w:rPr>
        <w:t>Application:</w:t>
      </w:r>
    </w:p>
    <w:p w:rsidR="00BB374E" w:rsidRPr="006353B7" w:rsidRDefault="00A376D5" w:rsidP="00BB374E">
      <w:pPr>
        <w:numPr>
          <w:ilvl w:val="0"/>
          <w:numId w:val="10"/>
        </w:numPr>
        <w:spacing w:after="0" w:line="360" w:lineRule="auto"/>
        <w:rPr>
          <w:color w:val="auto"/>
          <w:sz w:val="20"/>
        </w:rPr>
      </w:pPr>
      <w:r w:rsidRPr="006353B7">
        <w:rPr>
          <w:b/>
          <w:color w:val="auto"/>
          <w:sz w:val="20"/>
        </w:rPr>
        <w:t>Clarify e</w:t>
      </w:r>
      <w:r w:rsidR="00BB374E" w:rsidRPr="006353B7">
        <w:rPr>
          <w:b/>
          <w:color w:val="auto"/>
          <w:sz w:val="20"/>
        </w:rPr>
        <w:t>xperience in training or sponsoring training</w:t>
      </w:r>
      <w:r w:rsidR="00BB374E" w:rsidRPr="006353B7">
        <w:rPr>
          <w:color w:val="auto"/>
          <w:sz w:val="20"/>
        </w:rPr>
        <w:t xml:space="preserve"> for promotores, community health workers, and other health care professionals or paraprofessionals including training that </w:t>
      </w:r>
      <w:r w:rsidR="00BB374E" w:rsidRPr="006353B7">
        <w:rPr>
          <w:b/>
          <w:color w:val="auto"/>
          <w:sz w:val="20"/>
        </w:rPr>
        <w:t>utilizes adult learning principles</w:t>
      </w:r>
      <w:r w:rsidR="00BB374E" w:rsidRPr="006353B7">
        <w:rPr>
          <w:color w:val="auto"/>
          <w:sz w:val="20"/>
        </w:rPr>
        <w:t xml:space="preserve"> and is </w:t>
      </w:r>
      <w:r w:rsidR="00BB374E" w:rsidRPr="006353B7">
        <w:rPr>
          <w:b/>
          <w:color w:val="auto"/>
          <w:sz w:val="20"/>
        </w:rPr>
        <w:t>related to core competencies</w:t>
      </w:r>
      <w:r w:rsidR="00BB374E" w:rsidRPr="006353B7">
        <w:rPr>
          <w:color w:val="auto"/>
          <w:sz w:val="20"/>
        </w:rPr>
        <w:t xml:space="preserve"> in communication skills, interpersonal skills, service coordination, capacity-building skills, advocacy, organizational skills, teaching, and knowledge base on specific health issues</w:t>
      </w:r>
    </w:p>
    <w:p w:rsidR="00BB374E" w:rsidRPr="006353B7" w:rsidRDefault="00A376D5" w:rsidP="00BB374E">
      <w:pPr>
        <w:numPr>
          <w:ilvl w:val="0"/>
          <w:numId w:val="10"/>
        </w:numPr>
        <w:spacing w:after="0" w:line="360" w:lineRule="auto"/>
        <w:rPr>
          <w:color w:val="auto"/>
          <w:sz w:val="20"/>
        </w:rPr>
      </w:pPr>
      <w:r w:rsidRPr="006353B7">
        <w:rPr>
          <w:color w:val="auto"/>
          <w:sz w:val="20"/>
        </w:rPr>
        <w:t>Added requirement to provide p</w:t>
      </w:r>
      <w:r w:rsidR="00BB374E" w:rsidRPr="006353B7">
        <w:rPr>
          <w:color w:val="auto"/>
          <w:sz w:val="20"/>
        </w:rPr>
        <w:t xml:space="preserve">rogram plan to provide training for community health workers or instructors on </w:t>
      </w:r>
      <w:r w:rsidR="00BB374E" w:rsidRPr="006353B7">
        <w:rPr>
          <w:b/>
          <w:color w:val="auto"/>
          <w:sz w:val="20"/>
        </w:rPr>
        <w:t>at least an annual basis</w:t>
      </w:r>
    </w:p>
    <w:p w:rsidR="00BB374E" w:rsidRPr="006353B7" w:rsidRDefault="00BB374E" w:rsidP="00BB374E">
      <w:pPr>
        <w:spacing w:after="0" w:line="360" w:lineRule="auto"/>
        <w:rPr>
          <w:b/>
          <w:color w:val="auto"/>
          <w:sz w:val="22"/>
          <w:szCs w:val="22"/>
        </w:rPr>
      </w:pPr>
      <w:r w:rsidRPr="006353B7">
        <w:rPr>
          <w:b/>
          <w:color w:val="auto"/>
          <w:sz w:val="22"/>
          <w:szCs w:val="22"/>
        </w:rPr>
        <w:t>Curriculum:</w:t>
      </w:r>
    </w:p>
    <w:p w:rsidR="00BB374E" w:rsidRPr="006353B7" w:rsidRDefault="00BB374E" w:rsidP="00BB374E">
      <w:pPr>
        <w:numPr>
          <w:ilvl w:val="0"/>
          <w:numId w:val="9"/>
        </w:numPr>
        <w:spacing w:after="0" w:line="360" w:lineRule="auto"/>
        <w:rPr>
          <w:color w:val="auto"/>
          <w:sz w:val="20"/>
        </w:rPr>
      </w:pPr>
      <w:r w:rsidRPr="006353B7">
        <w:rPr>
          <w:b/>
          <w:color w:val="auto"/>
          <w:sz w:val="20"/>
        </w:rPr>
        <w:t>Component for hands-on learning</w:t>
      </w:r>
      <w:r w:rsidRPr="006353B7">
        <w:rPr>
          <w:color w:val="auto"/>
          <w:sz w:val="20"/>
        </w:rPr>
        <w:t>, such as field practice, internship or practicum</w:t>
      </w:r>
    </w:p>
    <w:p w:rsidR="00BB374E" w:rsidRPr="006353B7" w:rsidRDefault="00033C94" w:rsidP="00BB374E">
      <w:pPr>
        <w:numPr>
          <w:ilvl w:val="0"/>
          <w:numId w:val="9"/>
        </w:numPr>
        <w:spacing w:after="0" w:line="360" w:lineRule="auto"/>
        <w:rPr>
          <w:color w:val="auto"/>
          <w:sz w:val="20"/>
        </w:rPr>
      </w:pPr>
      <w:r w:rsidRPr="006353B7">
        <w:rPr>
          <w:b/>
          <w:color w:val="auto"/>
          <w:sz w:val="20"/>
        </w:rPr>
        <w:t>N</w:t>
      </w:r>
      <w:r w:rsidR="00BB374E" w:rsidRPr="006353B7">
        <w:rPr>
          <w:b/>
          <w:color w:val="auto"/>
          <w:sz w:val="20"/>
        </w:rPr>
        <w:t>ame and organization</w:t>
      </w:r>
      <w:r w:rsidR="00BB374E" w:rsidRPr="006353B7">
        <w:rPr>
          <w:color w:val="auto"/>
          <w:sz w:val="20"/>
        </w:rPr>
        <w:t xml:space="preserve"> of the curriculum developer (initial certification training)</w:t>
      </w:r>
    </w:p>
    <w:p w:rsidR="00BB374E" w:rsidRPr="006353B7" w:rsidRDefault="00BB374E" w:rsidP="00BB374E">
      <w:pPr>
        <w:numPr>
          <w:ilvl w:val="0"/>
          <w:numId w:val="9"/>
        </w:numPr>
        <w:spacing w:after="0" w:line="360" w:lineRule="auto"/>
        <w:rPr>
          <w:color w:val="auto"/>
          <w:sz w:val="20"/>
        </w:rPr>
      </w:pPr>
      <w:r w:rsidRPr="006353B7">
        <w:rPr>
          <w:color w:val="auto"/>
          <w:sz w:val="20"/>
        </w:rPr>
        <w:t xml:space="preserve">Appropriate </w:t>
      </w:r>
      <w:r w:rsidRPr="006353B7">
        <w:rPr>
          <w:b/>
          <w:color w:val="auto"/>
          <w:sz w:val="20"/>
        </w:rPr>
        <w:t>citations and references</w:t>
      </w:r>
    </w:p>
    <w:p w:rsidR="00BB374E" w:rsidRPr="006353B7" w:rsidRDefault="00BB374E" w:rsidP="00BB374E">
      <w:pPr>
        <w:numPr>
          <w:ilvl w:val="0"/>
          <w:numId w:val="9"/>
        </w:numPr>
        <w:spacing w:after="0" w:line="360" w:lineRule="auto"/>
        <w:rPr>
          <w:color w:val="auto"/>
          <w:sz w:val="20"/>
        </w:rPr>
      </w:pPr>
      <w:r w:rsidRPr="006353B7">
        <w:rPr>
          <w:b/>
          <w:color w:val="auto"/>
          <w:sz w:val="20"/>
        </w:rPr>
        <w:t>Activities and other strategies</w:t>
      </w:r>
      <w:r w:rsidRPr="006353B7">
        <w:rPr>
          <w:color w:val="auto"/>
          <w:sz w:val="20"/>
        </w:rPr>
        <w:t xml:space="preserve"> consistent with adult learning theory and principles</w:t>
      </w:r>
    </w:p>
    <w:p w:rsidR="00BB374E" w:rsidRPr="006353B7" w:rsidRDefault="00BB374E" w:rsidP="00BB374E">
      <w:pPr>
        <w:numPr>
          <w:ilvl w:val="0"/>
          <w:numId w:val="9"/>
        </w:numPr>
        <w:spacing w:after="0" w:line="360" w:lineRule="auto"/>
        <w:rPr>
          <w:color w:val="auto"/>
          <w:sz w:val="20"/>
        </w:rPr>
      </w:pPr>
      <w:r w:rsidRPr="006353B7">
        <w:rPr>
          <w:b/>
          <w:color w:val="auto"/>
          <w:sz w:val="20"/>
        </w:rPr>
        <w:t>Cultural sensitivity</w:t>
      </w:r>
      <w:r w:rsidRPr="006353B7">
        <w:rPr>
          <w:color w:val="auto"/>
          <w:sz w:val="20"/>
        </w:rPr>
        <w:t xml:space="preserve"> and literacy level appropriate to the topic and target audience</w:t>
      </w:r>
    </w:p>
    <w:p w:rsidR="00BB374E" w:rsidRPr="006353B7" w:rsidRDefault="00BB374E" w:rsidP="00BB374E">
      <w:pPr>
        <w:numPr>
          <w:ilvl w:val="0"/>
          <w:numId w:val="9"/>
        </w:numPr>
        <w:spacing w:after="0" w:line="360" w:lineRule="auto"/>
        <w:rPr>
          <w:color w:val="auto"/>
          <w:sz w:val="20"/>
        </w:rPr>
      </w:pPr>
      <w:r w:rsidRPr="006353B7">
        <w:rPr>
          <w:b/>
          <w:color w:val="auto"/>
          <w:sz w:val="20"/>
        </w:rPr>
        <w:t>Translation</w:t>
      </w:r>
      <w:r w:rsidRPr="006353B7">
        <w:rPr>
          <w:color w:val="auto"/>
          <w:sz w:val="20"/>
        </w:rPr>
        <w:t xml:space="preserve"> of the curriculum if the curriculum will be provided in a language other than English</w:t>
      </w:r>
    </w:p>
    <w:p w:rsidR="00BB374E" w:rsidRPr="006353B7" w:rsidRDefault="00A376D5" w:rsidP="00BB374E">
      <w:pPr>
        <w:numPr>
          <w:ilvl w:val="0"/>
          <w:numId w:val="9"/>
        </w:numPr>
        <w:spacing w:after="0" w:line="360" w:lineRule="auto"/>
        <w:rPr>
          <w:color w:val="auto"/>
          <w:sz w:val="20"/>
        </w:rPr>
      </w:pPr>
      <w:r w:rsidRPr="006353B7">
        <w:rPr>
          <w:b/>
          <w:color w:val="auto"/>
          <w:sz w:val="20"/>
        </w:rPr>
        <w:t>Must turn-in r</w:t>
      </w:r>
      <w:r w:rsidR="00BB374E" w:rsidRPr="006353B7">
        <w:rPr>
          <w:b/>
          <w:color w:val="auto"/>
          <w:sz w:val="20"/>
        </w:rPr>
        <w:t>oster within seven business</w:t>
      </w:r>
      <w:r w:rsidR="00BB374E" w:rsidRPr="006353B7">
        <w:rPr>
          <w:color w:val="auto"/>
          <w:sz w:val="20"/>
        </w:rPr>
        <w:t xml:space="preserve"> days following program completion</w:t>
      </w:r>
    </w:p>
    <w:p w:rsidR="00BB374E" w:rsidRPr="006353B7" w:rsidRDefault="00BB374E" w:rsidP="00BB374E">
      <w:pPr>
        <w:numPr>
          <w:ilvl w:val="0"/>
          <w:numId w:val="9"/>
        </w:numPr>
        <w:spacing w:after="0" w:line="360" w:lineRule="auto"/>
        <w:rPr>
          <w:color w:val="auto"/>
          <w:sz w:val="20"/>
        </w:rPr>
      </w:pPr>
      <w:r w:rsidRPr="006353B7">
        <w:rPr>
          <w:color w:val="auto"/>
          <w:sz w:val="20"/>
        </w:rPr>
        <w:t>M</w:t>
      </w:r>
      <w:r w:rsidR="00A376D5" w:rsidRPr="006353B7">
        <w:rPr>
          <w:color w:val="auto"/>
          <w:sz w:val="20"/>
        </w:rPr>
        <w:t>ust m</w:t>
      </w:r>
      <w:r w:rsidRPr="006353B7">
        <w:rPr>
          <w:color w:val="auto"/>
          <w:sz w:val="20"/>
        </w:rPr>
        <w:t xml:space="preserve">aintain </w:t>
      </w:r>
      <w:r w:rsidRPr="006353B7">
        <w:rPr>
          <w:b/>
          <w:color w:val="auto"/>
          <w:sz w:val="20"/>
        </w:rPr>
        <w:t>record of attendance</w:t>
      </w:r>
      <w:r w:rsidR="00033C94" w:rsidRPr="006353B7">
        <w:rPr>
          <w:color w:val="auto"/>
          <w:sz w:val="20"/>
        </w:rPr>
        <w:t xml:space="preserve"> for no</w:t>
      </w:r>
      <w:r w:rsidRPr="006353B7">
        <w:rPr>
          <w:color w:val="auto"/>
          <w:sz w:val="20"/>
        </w:rPr>
        <w:t xml:space="preserve"> less than three year</w:t>
      </w:r>
      <w:r w:rsidR="00033C94" w:rsidRPr="006353B7">
        <w:rPr>
          <w:color w:val="auto"/>
          <w:sz w:val="20"/>
        </w:rPr>
        <w:t>s</w:t>
      </w:r>
    </w:p>
    <w:p w:rsidR="00BB374E" w:rsidRPr="006353B7" w:rsidRDefault="00BB374E" w:rsidP="00BB374E">
      <w:pPr>
        <w:spacing w:after="0" w:line="360" w:lineRule="auto"/>
        <w:rPr>
          <w:b/>
          <w:color w:val="auto"/>
          <w:sz w:val="22"/>
          <w:szCs w:val="22"/>
        </w:rPr>
      </w:pPr>
      <w:r w:rsidRPr="006353B7">
        <w:rPr>
          <w:b/>
          <w:color w:val="auto"/>
          <w:sz w:val="22"/>
          <w:szCs w:val="22"/>
        </w:rPr>
        <w:t>Instructors:</w:t>
      </w:r>
    </w:p>
    <w:p w:rsidR="00BB374E" w:rsidRPr="006353B7" w:rsidRDefault="00BB374E" w:rsidP="00BB374E">
      <w:pPr>
        <w:numPr>
          <w:ilvl w:val="0"/>
          <w:numId w:val="11"/>
        </w:numPr>
        <w:spacing w:after="0" w:line="360" w:lineRule="auto"/>
        <w:rPr>
          <w:color w:val="auto"/>
          <w:sz w:val="20"/>
        </w:rPr>
      </w:pPr>
      <w:r w:rsidRPr="006353B7">
        <w:rPr>
          <w:color w:val="auto"/>
          <w:sz w:val="20"/>
        </w:rPr>
        <w:t xml:space="preserve">Curricula </w:t>
      </w:r>
      <w:r w:rsidR="00A376D5" w:rsidRPr="006353B7">
        <w:rPr>
          <w:color w:val="auto"/>
          <w:sz w:val="20"/>
        </w:rPr>
        <w:t xml:space="preserve">must be </w:t>
      </w:r>
      <w:r w:rsidRPr="006353B7">
        <w:rPr>
          <w:color w:val="auto"/>
          <w:sz w:val="20"/>
        </w:rPr>
        <w:t xml:space="preserve">provided by a </w:t>
      </w:r>
      <w:r w:rsidRPr="006353B7">
        <w:rPr>
          <w:b/>
          <w:color w:val="auto"/>
          <w:sz w:val="20"/>
        </w:rPr>
        <w:t>certified instructor</w:t>
      </w:r>
      <w:r w:rsidRPr="006353B7">
        <w:rPr>
          <w:color w:val="auto"/>
          <w:sz w:val="20"/>
        </w:rPr>
        <w:t>, unless otherwise approved by the department</w:t>
      </w:r>
    </w:p>
    <w:p w:rsidR="00BB374E" w:rsidRPr="006353B7" w:rsidRDefault="00033C94" w:rsidP="00BB374E">
      <w:pPr>
        <w:numPr>
          <w:ilvl w:val="0"/>
          <w:numId w:val="11"/>
        </w:numPr>
        <w:spacing w:after="0" w:line="360" w:lineRule="auto"/>
        <w:rPr>
          <w:i/>
          <w:color w:val="auto"/>
          <w:sz w:val="20"/>
        </w:rPr>
      </w:pPr>
      <w:r w:rsidRPr="006353B7">
        <w:rPr>
          <w:i/>
          <w:color w:val="auto"/>
          <w:sz w:val="20"/>
        </w:rPr>
        <w:t>Guest Instructor procedure is</w:t>
      </w:r>
      <w:r w:rsidR="00BB374E" w:rsidRPr="006353B7">
        <w:rPr>
          <w:i/>
          <w:color w:val="auto"/>
          <w:sz w:val="20"/>
        </w:rPr>
        <w:t xml:space="preserve"> in final draft sta</w:t>
      </w:r>
      <w:r w:rsidR="00A376D5" w:rsidRPr="006353B7">
        <w:rPr>
          <w:i/>
          <w:color w:val="auto"/>
          <w:sz w:val="20"/>
        </w:rPr>
        <w:t>ge- a</w:t>
      </w:r>
      <w:r w:rsidR="00BB374E" w:rsidRPr="006353B7">
        <w:rPr>
          <w:i/>
          <w:color w:val="auto"/>
          <w:sz w:val="20"/>
        </w:rPr>
        <w:t>nticipate</w:t>
      </w:r>
      <w:r w:rsidRPr="006353B7">
        <w:rPr>
          <w:i/>
          <w:color w:val="auto"/>
          <w:sz w:val="20"/>
        </w:rPr>
        <w:t>d</w:t>
      </w:r>
      <w:r w:rsidR="00BB374E" w:rsidRPr="006353B7">
        <w:rPr>
          <w:i/>
          <w:color w:val="auto"/>
          <w:sz w:val="20"/>
        </w:rPr>
        <w:t xml:space="preserve"> implementation </w:t>
      </w:r>
      <w:r w:rsidR="00A376D5" w:rsidRPr="006353B7">
        <w:rPr>
          <w:i/>
          <w:color w:val="auto"/>
          <w:sz w:val="20"/>
        </w:rPr>
        <w:t>in</w:t>
      </w:r>
      <w:r w:rsidR="00BB374E" w:rsidRPr="006353B7">
        <w:rPr>
          <w:i/>
          <w:color w:val="auto"/>
          <w:sz w:val="20"/>
        </w:rPr>
        <w:t xml:space="preserve"> Fall 2015.</w:t>
      </w:r>
    </w:p>
    <w:p w:rsidR="00BB374E" w:rsidRPr="006353B7" w:rsidRDefault="00BB374E" w:rsidP="00BB374E">
      <w:pPr>
        <w:spacing w:after="0" w:line="360" w:lineRule="auto"/>
        <w:rPr>
          <w:b/>
          <w:color w:val="auto"/>
          <w:u w:val="single"/>
        </w:rPr>
      </w:pPr>
      <w:r w:rsidRPr="006353B7">
        <w:rPr>
          <w:color w:val="auto"/>
        </w:rPr>
        <w:t xml:space="preserve">   </w:t>
      </w:r>
    </w:p>
    <w:p w:rsidR="00BB374E" w:rsidRPr="006353B7" w:rsidRDefault="00BB374E" w:rsidP="00BB374E">
      <w:pPr>
        <w:spacing w:after="0" w:line="360" w:lineRule="auto"/>
        <w:rPr>
          <w:bCs/>
          <w:color w:val="auto"/>
          <w:sz w:val="22"/>
        </w:rPr>
      </w:pPr>
      <w:r w:rsidRPr="006353B7">
        <w:rPr>
          <w:bCs/>
          <w:color w:val="auto"/>
          <w:sz w:val="22"/>
        </w:rPr>
        <w:t xml:space="preserve">§146.5.  Eligibility Requirements and Application Procedures for </w:t>
      </w:r>
      <w:r w:rsidRPr="006353B7">
        <w:rPr>
          <w:b/>
          <w:bCs/>
          <w:color w:val="auto"/>
          <w:sz w:val="22"/>
        </w:rPr>
        <w:t>Community Health Worker Instructors</w:t>
      </w:r>
      <w:r w:rsidRPr="006353B7">
        <w:rPr>
          <w:bCs/>
          <w:color w:val="auto"/>
          <w:sz w:val="22"/>
        </w:rPr>
        <w:t xml:space="preserve"> </w:t>
      </w:r>
    </w:p>
    <w:p w:rsidR="007B3373" w:rsidRPr="006353B7" w:rsidRDefault="007B3373" w:rsidP="007B3373">
      <w:pPr>
        <w:numPr>
          <w:ilvl w:val="0"/>
          <w:numId w:val="12"/>
        </w:numPr>
        <w:spacing w:after="0" w:line="360" w:lineRule="auto"/>
        <w:rPr>
          <w:color w:val="auto"/>
          <w:sz w:val="20"/>
        </w:rPr>
      </w:pPr>
      <w:r w:rsidRPr="006353B7">
        <w:rPr>
          <w:color w:val="auto"/>
          <w:sz w:val="20"/>
        </w:rPr>
        <w:t xml:space="preserve">Clarification for </w:t>
      </w:r>
      <w:r w:rsidRPr="006353B7">
        <w:rPr>
          <w:b/>
          <w:color w:val="auto"/>
          <w:sz w:val="20"/>
        </w:rPr>
        <w:t>requirement to live in Texas</w:t>
      </w:r>
      <w:r w:rsidRPr="006353B7">
        <w:rPr>
          <w:color w:val="auto"/>
          <w:sz w:val="20"/>
        </w:rPr>
        <w:t xml:space="preserve">  </w:t>
      </w:r>
    </w:p>
    <w:p w:rsidR="007B3373" w:rsidRPr="006353B7" w:rsidRDefault="007B3373" w:rsidP="007B3373">
      <w:pPr>
        <w:numPr>
          <w:ilvl w:val="0"/>
          <w:numId w:val="12"/>
        </w:numPr>
        <w:spacing w:after="0" w:line="360" w:lineRule="auto"/>
        <w:rPr>
          <w:color w:val="auto"/>
          <w:sz w:val="20"/>
        </w:rPr>
      </w:pPr>
      <w:r w:rsidRPr="006353B7">
        <w:rPr>
          <w:color w:val="auto"/>
          <w:sz w:val="20"/>
        </w:rPr>
        <w:t xml:space="preserve">Change to </w:t>
      </w:r>
      <w:r w:rsidRPr="006353B7">
        <w:rPr>
          <w:b/>
          <w:color w:val="auto"/>
          <w:sz w:val="20"/>
        </w:rPr>
        <w:t>inactive status</w:t>
      </w:r>
      <w:r w:rsidRPr="006353B7">
        <w:rPr>
          <w:color w:val="auto"/>
          <w:sz w:val="20"/>
        </w:rPr>
        <w:t xml:space="preserve"> if no longer a Texas resident</w:t>
      </w:r>
    </w:p>
    <w:p w:rsidR="00EB7E31" w:rsidRPr="006353B7" w:rsidRDefault="00EB7E31" w:rsidP="007B3373">
      <w:pPr>
        <w:numPr>
          <w:ilvl w:val="0"/>
          <w:numId w:val="12"/>
        </w:numPr>
        <w:spacing w:after="0" w:line="360" w:lineRule="auto"/>
        <w:rPr>
          <w:color w:val="auto"/>
          <w:sz w:val="20"/>
        </w:rPr>
      </w:pPr>
      <w:r w:rsidRPr="006353B7">
        <w:rPr>
          <w:color w:val="auto"/>
          <w:sz w:val="20"/>
        </w:rPr>
        <w:t>Will accept signed applications via email (either typed signature or scanned signature). No longer need to mail the signature page.</w:t>
      </w:r>
    </w:p>
    <w:p w:rsidR="00A376D5" w:rsidRPr="006353B7" w:rsidRDefault="00A376D5" w:rsidP="00BB374E">
      <w:pPr>
        <w:spacing w:after="0" w:line="360" w:lineRule="auto"/>
        <w:rPr>
          <w:bCs/>
          <w:color w:val="auto"/>
          <w:sz w:val="22"/>
        </w:rPr>
      </w:pPr>
    </w:p>
    <w:p w:rsidR="00BB374E" w:rsidRPr="006353B7" w:rsidRDefault="00BB374E" w:rsidP="00BB374E">
      <w:pPr>
        <w:spacing w:after="0" w:line="360" w:lineRule="auto"/>
        <w:rPr>
          <w:b/>
          <w:bCs/>
          <w:color w:val="auto"/>
          <w:sz w:val="22"/>
        </w:rPr>
      </w:pPr>
      <w:r w:rsidRPr="006353B7">
        <w:rPr>
          <w:bCs/>
          <w:color w:val="auto"/>
          <w:sz w:val="22"/>
        </w:rPr>
        <w:t xml:space="preserve">§146.6.  Eligibility Requirements and Application Procedures for </w:t>
      </w:r>
      <w:r w:rsidRPr="006353B7">
        <w:rPr>
          <w:b/>
          <w:bCs/>
          <w:color w:val="auto"/>
          <w:sz w:val="22"/>
        </w:rPr>
        <w:t>Promotores or Community Health Workers</w:t>
      </w:r>
    </w:p>
    <w:p w:rsidR="00BB374E" w:rsidRPr="006353B7" w:rsidRDefault="00BB374E" w:rsidP="00BB374E">
      <w:pPr>
        <w:numPr>
          <w:ilvl w:val="0"/>
          <w:numId w:val="12"/>
        </w:numPr>
        <w:spacing w:after="0" w:line="360" w:lineRule="auto"/>
        <w:rPr>
          <w:color w:val="auto"/>
          <w:sz w:val="20"/>
        </w:rPr>
      </w:pPr>
      <w:r w:rsidRPr="006353B7">
        <w:rPr>
          <w:color w:val="auto"/>
          <w:sz w:val="20"/>
        </w:rPr>
        <w:t xml:space="preserve">Clarification for </w:t>
      </w:r>
      <w:r w:rsidRPr="006353B7">
        <w:rPr>
          <w:b/>
          <w:color w:val="auto"/>
          <w:sz w:val="20"/>
        </w:rPr>
        <w:t>requirement to live in Texas</w:t>
      </w:r>
      <w:r w:rsidRPr="006353B7">
        <w:rPr>
          <w:color w:val="auto"/>
          <w:sz w:val="20"/>
        </w:rPr>
        <w:t xml:space="preserve">  </w:t>
      </w:r>
    </w:p>
    <w:p w:rsidR="00BB374E" w:rsidRPr="006353B7" w:rsidRDefault="00BB374E" w:rsidP="00BB374E">
      <w:pPr>
        <w:numPr>
          <w:ilvl w:val="0"/>
          <w:numId w:val="12"/>
        </w:numPr>
        <w:spacing w:after="0" w:line="360" w:lineRule="auto"/>
        <w:rPr>
          <w:color w:val="auto"/>
          <w:sz w:val="20"/>
        </w:rPr>
      </w:pPr>
      <w:r w:rsidRPr="006353B7">
        <w:rPr>
          <w:color w:val="auto"/>
          <w:sz w:val="20"/>
        </w:rPr>
        <w:t xml:space="preserve">Change to </w:t>
      </w:r>
      <w:r w:rsidRPr="006353B7">
        <w:rPr>
          <w:b/>
          <w:color w:val="auto"/>
          <w:sz w:val="20"/>
        </w:rPr>
        <w:t>inactive status</w:t>
      </w:r>
      <w:r w:rsidRPr="006353B7">
        <w:rPr>
          <w:color w:val="auto"/>
          <w:sz w:val="20"/>
        </w:rPr>
        <w:t xml:space="preserve"> if no longer a Texas resident</w:t>
      </w:r>
    </w:p>
    <w:p w:rsidR="00061601" w:rsidRPr="006353B7" w:rsidRDefault="00EB7E31" w:rsidP="00BB374E">
      <w:pPr>
        <w:pStyle w:val="ListParagraph"/>
        <w:numPr>
          <w:ilvl w:val="0"/>
          <w:numId w:val="12"/>
        </w:numPr>
        <w:spacing w:after="0" w:line="360" w:lineRule="auto"/>
      </w:pPr>
      <w:r w:rsidRPr="006353B7">
        <w:rPr>
          <w:sz w:val="20"/>
          <w:szCs w:val="20"/>
        </w:rPr>
        <w:t>Will accept signed applications via email (either typed signature or scanned signature). No longer need to mail the signature page.</w:t>
      </w:r>
    </w:p>
    <w:sectPr w:rsidR="00061601" w:rsidRPr="006353B7" w:rsidSect="00EB7E31">
      <w:headerReference w:type="default" r:id="rId10"/>
      <w:pgSz w:w="12240" w:h="15840" w:code="1"/>
      <w:pgMar w:top="864" w:right="864" w:bottom="864" w:left="86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33" w:rsidRDefault="00735F33">
      <w:pPr>
        <w:spacing w:after="0" w:line="240" w:lineRule="auto"/>
      </w:pPr>
      <w:r>
        <w:separator/>
      </w:r>
    </w:p>
  </w:endnote>
  <w:endnote w:type="continuationSeparator" w:id="0">
    <w:p w:rsidR="00735F33" w:rsidRDefault="0073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33" w:rsidRDefault="00735F33">
      <w:pPr>
        <w:spacing w:after="0" w:line="240" w:lineRule="auto"/>
      </w:pPr>
      <w:r>
        <w:separator/>
      </w:r>
    </w:p>
  </w:footnote>
  <w:footnote w:type="continuationSeparator" w:id="0">
    <w:p w:rsidR="00735F33" w:rsidRDefault="0073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46" w:rsidRDefault="003024B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C5139" wp14:editId="0A94B3CE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6446" w:rsidRDefault="003024BE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21CDA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" filled="f" stroked="f" strokeweight=".5pt">
              <v:textbox style="mso-fit-shape-to-text:t" inset="0,0,0,0">
                <w:txbxContent>
                  <w:p w:rsidR="00826446" w:rsidRDefault="003024BE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21CDA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650D"/>
    <w:multiLevelType w:val="hybridMultilevel"/>
    <w:tmpl w:val="DD908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B65868"/>
    <w:multiLevelType w:val="hybridMultilevel"/>
    <w:tmpl w:val="AC886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1268A4"/>
    <w:multiLevelType w:val="hybridMultilevel"/>
    <w:tmpl w:val="7F4AB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311536"/>
    <w:multiLevelType w:val="hybridMultilevel"/>
    <w:tmpl w:val="E828E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F73ACB"/>
    <w:multiLevelType w:val="hybridMultilevel"/>
    <w:tmpl w:val="D3DE6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E0F6B"/>
    <w:multiLevelType w:val="hybridMultilevel"/>
    <w:tmpl w:val="81B0D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41D5F"/>
    <w:multiLevelType w:val="hybridMultilevel"/>
    <w:tmpl w:val="E54AFE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927502"/>
    <w:multiLevelType w:val="hybridMultilevel"/>
    <w:tmpl w:val="1FAA4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33"/>
    <w:rsid w:val="00021CDA"/>
    <w:rsid w:val="00033C94"/>
    <w:rsid w:val="00061601"/>
    <w:rsid w:val="0024322A"/>
    <w:rsid w:val="003024BE"/>
    <w:rsid w:val="005E189F"/>
    <w:rsid w:val="006353B7"/>
    <w:rsid w:val="00735F33"/>
    <w:rsid w:val="007B3373"/>
    <w:rsid w:val="00826446"/>
    <w:rsid w:val="00A376D5"/>
    <w:rsid w:val="00BB374E"/>
    <w:rsid w:val="00D20ED2"/>
    <w:rsid w:val="00E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7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ListParagraph">
    <w:name w:val="List Paragraph"/>
    <w:basedOn w:val="Normal"/>
    <w:uiPriority w:val="34"/>
    <w:qFormat/>
    <w:rsid w:val="00735F33"/>
    <w:pPr>
      <w:spacing w:after="200" w:line="276" w:lineRule="auto"/>
      <w:ind w:left="720"/>
      <w:contextualSpacing/>
    </w:pPr>
    <w:rPr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35F33"/>
    <w:rPr>
      <w:color w:val="40ACD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7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ListParagraph">
    <w:name w:val="List Paragraph"/>
    <w:basedOn w:val="Normal"/>
    <w:uiPriority w:val="34"/>
    <w:qFormat/>
    <w:rsid w:val="00735F33"/>
    <w:pPr>
      <w:spacing w:after="200" w:line="276" w:lineRule="auto"/>
      <w:ind w:left="720"/>
      <w:contextualSpacing/>
    </w:pPr>
    <w:rPr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35F33"/>
    <w:rPr>
      <w:color w:val="40ACD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enking332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DC4EBA56584BEFA0B9BA2DA0EA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D40C-A9AE-417B-986A-4EB2990CCABF}"/>
      </w:docPartPr>
      <w:docPartBody>
        <w:p w:rsidR="00C83B5C" w:rsidRDefault="00F33967">
          <w:pPr>
            <w:pStyle w:val="62DC4EBA56584BEFA0B9BA2DA0EA32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2CBCD3F8A45A1A1F44B10A30F6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E6A6-9018-4932-80AD-2B6A4F7E8474}"/>
      </w:docPartPr>
      <w:docPartBody>
        <w:p w:rsidR="00C83B5C" w:rsidRDefault="00F33967" w:rsidP="00F33967">
          <w:pPr>
            <w:pStyle w:val="EF82CBCD3F8A45A1A1F44B10A30F6F4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E113FC6C1D4C1B9ADE0FA1BA91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E7FF-3C04-4371-9651-F225EF166645}"/>
      </w:docPartPr>
      <w:docPartBody>
        <w:p w:rsidR="00C83B5C" w:rsidRDefault="00F33967" w:rsidP="00F33967">
          <w:pPr>
            <w:pStyle w:val="52E113FC6C1D4C1B9ADE0FA1BA91E97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7"/>
    <w:rsid w:val="00C83B5C"/>
    <w:rsid w:val="00F3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89A130C4014E7698C4791526DFCE4B">
    <w:name w:val="0E89A130C4014E7698C4791526DFCE4B"/>
  </w:style>
  <w:style w:type="paragraph" w:customStyle="1" w:styleId="E6235000403F4772A7D2D9F2D72B95BE">
    <w:name w:val="E6235000403F4772A7D2D9F2D72B95BE"/>
  </w:style>
  <w:style w:type="character" w:styleId="PlaceholderText">
    <w:name w:val="Placeholder Text"/>
    <w:basedOn w:val="DefaultParagraphFont"/>
    <w:uiPriority w:val="99"/>
    <w:semiHidden/>
    <w:rsid w:val="00F33967"/>
    <w:rPr>
      <w:color w:val="808080"/>
    </w:rPr>
  </w:style>
  <w:style w:type="paragraph" w:customStyle="1" w:styleId="62DC4EBA56584BEFA0B9BA2DA0EA32D1">
    <w:name w:val="62DC4EBA56584BEFA0B9BA2DA0EA32D1"/>
  </w:style>
  <w:style w:type="paragraph" w:customStyle="1" w:styleId="EF82CBCD3F8A45A1A1F44B10A30F6F4A">
    <w:name w:val="EF82CBCD3F8A45A1A1F44B10A30F6F4A"/>
    <w:rsid w:val="00F33967"/>
  </w:style>
  <w:style w:type="paragraph" w:customStyle="1" w:styleId="52E113FC6C1D4C1B9ADE0FA1BA91E979">
    <w:name w:val="52E113FC6C1D4C1B9ADE0FA1BA91E979"/>
    <w:rsid w:val="00F339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89A130C4014E7698C4791526DFCE4B">
    <w:name w:val="0E89A130C4014E7698C4791526DFCE4B"/>
  </w:style>
  <w:style w:type="paragraph" w:customStyle="1" w:styleId="E6235000403F4772A7D2D9F2D72B95BE">
    <w:name w:val="E6235000403F4772A7D2D9F2D72B95BE"/>
  </w:style>
  <w:style w:type="character" w:styleId="PlaceholderText">
    <w:name w:val="Placeholder Text"/>
    <w:basedOn w:val="DefaultParagraphFont"/>
    <w:uiPriority w:val="99"/>
    <w:semiHidden/>
    <w:rsid w:val="00F33967"/>
    <w:rPr>
      <w:color w:val="808080"/>
    </w:rPr>
  </w:style>
  <w:style w:type="paragraph" w:customStyle="1" w:styleId="62DC4EBA56584BEFA0B9BA2DA0EA32D1">
    <w:name w:val="62DC4EBA56584BEFA0B9BA2DA0EA32D1"/>
  </w:style>
  <w:style w:type="paragraph" w:customStyle="1" w:styleId="EF82CBCD3F8A45A1A1F44B10A30F6F4A">
    <w:name w:val="EF82CBCD3F8A45A1A1F44B10A30F6F4A"/>
    <w:rsid w:val="00F33967"/>
  </w:style>
  <w:style w:type="paragraph" w:customStyle="1" w:styleId="52E113FC6C1D4C1B9ADE0FA1BA91E979">
    <w:name w:val="52E113FC6C1D4C1B9ADE0FA1BA91E979"/>
    <w:rsid w:val="00F33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30D70-E37C-4AF8-8519-598D6D21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State Health Services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Menking,Paige (DSHS)</dc:creator>
  <cp:lastModifiedBy>MacCarty,Beverly (DSHS)</cp:lastModifiedBy>
  <cp:revision>3</cp:revision>
  <dcterms:created xsi:type="dcterms:W3CDTF">2015-06-25T19:45:00Z</dcterms:created>
  <dcterms:modified xsi:type="dcterms:W3CDTF">2015-06-25T19:46:00Z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